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during the Fram</w:t>
      </w:r>
      <w:r w:rsidDel="00000000" w:rsidR="00000000" w:rsidRPr="00000000">
        <w:rPr>
          <w:rFonts w:ascii="Arial" w:cs="Arial" w:eastAsia="Arial" w:hAnsi="Arial"/>
          <w:sz w:val="24"/>
          <w:szCs w:val="24"/>
          <w:rtl w:val="0"/>
        </w:rPr>
        <w:t xml:space="preserve">ework Contract Period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under each Call Off Contract; and</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hall not be impacted by any change to the Framework Prices.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bookmarkStart w:colFirst="0" w:colLast="0" w:name="bookmark=id.3znysh7" w:id="2"/>
    <w:bookmarkEnd w:id="2"/>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1fob9te"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09"/>
        </w:tabs>
        <w:spacing w:after="240" w:before="120" w:line="240" w:lineRule="auto"/>
        <w:ind w:left="360" w:right="0" w:hanging="360"/>
        <w:jc w:val="both"/>
        <w:rPr/>
      </w:pPr>
      <w:r w:rsidDel="00000000" w:rsidR="00000000" w:rsidRPr="00000000">
        <w:rPr>
          <w:rFonts w:ascii="Arial" w:cs="Arial" w:eastAsia="Arial" w:hAnsi="Arial"/>
          <w:b w:val="1"/>
          <w:sz w:val="24"/>
          <w:szCs w:val="24"/>
          <w:rtl w:val="0"/>
        </w:rPr>
        <w:t xml:space="preserve">Not used </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and</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indexation, where Annex 1 states that a particular Framework Price or any component is “subject to Indexation” in which event Paragraph </w:t>
      </w:r>
      <w:r w:rsidDel="00000000" w:rsidR="00000000" w:rsidRPr="00000000">
        <w:rPr>
          <w:rFonts w:ascii="Arial" w:cs="Arial" w:eastAsia="Arial" w:hAnsi="Arial"/>
          <w:sz w:val="24"/>
          <w:szCs w:val="24"/>
          <w:rtl w:val="0"/>
        </w:rPr>
        <w:t xml:space="preserve">6</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below shall apply. </w:t>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b w:val="1"/>
          <w:i w:val="0"/>
          <w:smallCaps w:val="0"/>
          <w:strike w:val="0"/>
          <w:color w:val="000000"/>
          <w:sz w:val="26"/>
          <w:szCs w:val="26"/>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When the Framework Prices are linked to inflation </w:t>
      </w:r>
    </w:p>
    <w:p w:rsidR="00000000" w:rsidDel="00000000" w:rsidP="00000000" w:rsidRDefault="00000000" w:rsidRPr="00000000" w14:paraId="0000001A">
      <w:pPr>
        <w:numPr>
          <w:ilvl w:val="1"/>
          <w:numId w:val="2"/>
        </w:numPr>
        <w:tabs>
          <w:tab w:val="left" w:leader="none" w:pos="709"/>
        </w:tabs>
        <w:spacing w:after="120" w:before="120" w:line="240" w:lineRule="auto"/>
        <w:ind w:left="644" w:hanging="359.99999999999994"/>
      </w:pPr>
      <w:r w:rsidDel="00000000" w:rsidR="00000000" w:rsidRPr="00000000">
        <w:rPr>
          <w:rFonts w:ascii="Arial" w:cs="Arial" w:eastAsia="Arial" w:hAnsi="Arial"/>
          <w:sz w:val="24"/>
          <w:szCs w:val="24"/>
          <w:rtl w:val="0"/>
        </w:rPr>
        <w:t xml:space="preserve">The Framework Prices will be fixed for the first 2 years following the Framework Start Date (the date of expiry of such period is a "</w:t>
      </w:r>
      <w:r w:rsidDel="00000000" w:rsidR="00000000" w:rsidRPr="00000000">
        <w:rPr>
          <w:rFonts w:ascii="Arial" w:cs="Arial" w:eastAsia="Arial" w:hAnsi="Arial"/>
          <w:b w:val="1"/>
          <w:sz w:val="24"/>
          <w:szCs w:val="24"/>
          <w:rtl w:val="0"/>
        </w:rPr>
        <w:t xml:space="preserve">Review Date</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Framework </w:t>
      </w:r>
      <w:r w:rsidDel="00000000" w:rsidR="00000000" w:rsidRPr="00000000">
        <w:rPr>
          <w:rFonts w:ascii="Arial" w:cs="Arial" w:eastAsia="Arial" w:hAnsi="Arial"/>
          <w:sz w:val="24"/>
          <w:szCs w:val="24"/>
          <w:rtl w:val="0"/>
        </w:rPr>
        <w:t xml:space="preserve">Prices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stated to be "subject to Indexation", upon the request of the Supplier, they shall be adjusted in line with changes in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Service Producer Price Indices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SPPI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group 70.2 Management </w:t>
      </w:r>
      <w:r w:rsidDel="00000000" w:rsidR="00000000" w:rsidRPr="00000000">
        <w:rPr>
          <w:rFonts w:ascii="Arial" w:cs="Arial" w:eastAsia="Arial" w:hAnsi="Arial"/>
          <w:sz w:val="24"/>
          <w:szCs w:val="24"/>
          <w:rtl w:val="0"/>
        </w:rPr>
        <w:t xml:space="preserve">consultancy activities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The Supplier shall give CCS at least three (3), but no more than five (5), Months' notice in writing prior to a Review Date where it wants to request an adjustment. If the Supplier does not give notice in time then it will not be able to request an adjustment.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All other costs, expenses, fees and charges shall not be adjusted to take account of any inflation, change to exchange rate, change to interest rate or any other factor or element which might otherwise increase the cost to the Supplier.</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Annex 1 states a Framework Price is subject to Indexation then it will be indexed on the date which is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years after the Framework </w:t>
      </w:r>
      <w:r w:rsidDel="00000000" w:rsidR="00000000" w:rsidRPr="00000000">
        <w:rPr>
          <w:rFonts w:ascii="Arial" w:cs="Arial" w:eastAsia="Arial" w:hAnsi="Arial"/>
          <w:sz w:val="24"/>
          <w:szCs w:val="24"/>
          <w:rtl w:val="0"/>
        </w:rPr>
        <w:t xml:space="preserve">Start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Date to reflect the </w:t>
      </w:r>
      <w:r w:rsidDel="00000000" w:rsidR="00000000" w:rsidRPr="00000000">
        <w:rPr>
          <w:rFonts w:ascii="Arial" w:cs="Arial" w:eastAsia="Arial" w:hAnsi="Arial"/>
          <w:sz w:val="24"/>
          <w:szCs w:val="24"/>
          <w:rtl w:val="0"/>
        </w:rPr>
        <w:t xml:space="preserve">SSP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group 70.2 </w:t>
      </w:r>
      <w:r w:rsidDel="00000000" w:rsidR="00000000" w:rsidRPr="00000000">
        <w:rPr>
          <w:rFonts w:ascii="Arial" w:cs="Arial" w:eastAsia="Arial" w:hAnsi="Arial"/>
          <w:sz w:val="24"/>
          <w:szCs w:val="24"/>
          <w:rtl w:val="0"/>
        </w:rPr>
        <w:t xml:space="preserve">as at January 2027.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w:t>
      </w:r>
      <w:r w:rsidDel="00000000" w:rsidR="00000000" w:rsidRPr="00000000">
        <w:rPr>
          <w:rFonts w:ascii="Arial" w:cs="Arial" w:eastAsia="Arial" w:hAnsi="Arial"/>
          <w:sz w:val="24"/>
          <w:szCs w:val="24"/>
          <w:rtl w:val="0"/>
        </w:rPr>
        <w:t xml:space="preserve">SPP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Index:</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used to carry out an indexation calculation is updated (for example due to it being provisional) then the indexation calculation shall also be updated unless C</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 and the Supplier agree otherwise; </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 longer published, CCS and the Supplier shall agree a fair and reasonable replacement that will have substantially the same effect.</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3.858267716535" w:right="0" w:hanging="425.19685039370046"/>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Where the Order Form permits, the Buyer may apply SPPI group 70.2 to the Charges. With agreement from the Buyer, the Charges may exceed the Framework Prices after the Framework Expiry Date.</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b w:val="1"/>
          <w:i w:val="0"/>
          <w:smallCaps w:val="0"/>
          <w:strike w:val="0"/>
          <w:color w:val="000000"/>
          <w:sz w:val="26"/>
          <w:szCs w:val="26"/>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When you will be reimbursed for travel and subsistence</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Expenses shall only be recoverable where:</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states that recovery is permitted; and</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they are </w:t>
      </w:r>
      <w:r w:rsidDel="00000000" w:rsidR="00000000" w:rsidRPr="00000000">
        <w:rPr>
          <w:rFonts w:ascii="Arial" w:cs="Arial" w:eastAsia="Arial" w:hAnsi="Arial"/>
          <w:sz w:val="24"/>
          <w:szCs w:val="24"/>
          <w:rtl w:val="0"/>
        </w:rPr>
        <w:t xml:space="preserve">Reimbursable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Expenses and are supported by Supporting Documentation.</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bookmarkStart w:colFirst="0" w:colLast="0" w:name="_heading=h.3dy6vkm" w:id="4"/>
      <w:bookmarkEnd w:id="4"/>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provide a copy of their current expenses policy to the Supplier upon request.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pageBreakBefore w:val="0"/>
        <w:rPr>
          <w:rFonts w:ascii="Arial" w:cs="Arial" w:eastAsia="Arial" w:hAnsi="Arial"/>
          <w:b w:val="1"/>
          <w:sz w:val="36"/>
          <w:szCs w:val="36"/>
        </w:rPr>
      </w:pPr>
      <w:bookmarkStart w:colFirst="0" w:colLast="0" w:name="_heading=h.1t3h5sf" w:id="5"/>
      <w:bookmarkEnd w:id="5"/>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1: Time and Materials</w:t>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its Sub-Contractor) shall not be entitled to include any uplift for risks or contingencies within its day rates</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sz w:val="24"/>
          <w:szCs w:val="24"/>
        </w:rPr>
      </w:pP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The rates below shall be subject to variation by way of Indexation.</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Lots 1 to 9</w:t>
      </w:r>
      <w:r w:rsidDel="00000000" w:rsidR="00000000" w:rsidRPr="00000000">
        <w:rPr>
          <w:rtl w:val="0"/>
        </w:rPr>
      </w:r>
    </w:p>
    <w:tbl>
      <w:tblPr>
        <w:tblStyle w:val="Table1"/>
        <w:tblW w:w="9140.511811023624"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994.7929288068854"/>
        <w:gridCol w:w="3072.8594411083686"/>
        <w:gridCol w:w="3072.8594411083686"/>
        <w:tblGridChange w:id="0">
          <w:tblGrid>
            <w:gridCol w:w="2994.7929288068854"/>
            <w:gridCol w:w="3072.8594411083686"/>
            <w:gridCol w:w="3072.8594411083686"/>
          </w:tblGrid>
        </w:tblGridChange>
      </w:tblGrid>
      <w:tr>
        <w:trPr>
          <w:cantSplit w:val="0"/>
          <w:tblHeader w:val="0"/>
        </w:trPr>
        <w:tc>
          <w:tcPr>
            <w:shd w:fill="548dd4" w:val="clear"/>
          </w:tcPr>
          <w:p w:rsidR="00000000" w:rsidDel="00000000" w:rsidP="00000000" w:rsidRDefault="00000000" w:rsidRPr="00000000" w14:paraId="0000002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Grade</w:t>
            </w:r>
          </w:p>
        </w:tc>
        <w:tc>
          <w:tcPr>
            <w:shd w:fill="548dd4" w:val="clear"/>
          </w:tcPr>
          <w:p w:rsidR="00000000" w:rsidDel="00000000" w:rsidP="00000000" w:rsidRDefault="00000000" w:rsidRPr="00000000" w14:paraId="0000002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Advice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Day Rate (£)</w:t>
            </w:r>
          </w:p>
        </w:tc>
        <w:tc>
          <w:tcPr>
            <w:shd w:fill="548dd4" w:val="clear"/>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Delivery Day Rate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0">
            <w:pPr>
              <w:keepNext w:val="1"/>
              <w:spacing w:after="120" w:before="240" w:line="276"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1">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6" w:val="single"/>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2">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3">
            <w:pPr>
              <w:keepNext w:val="1"/>
              <w:spacing w:befor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Managing Consultant / Director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4">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5">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6">
            <w:pPr>
              <w:keepNext w:val="1"/>
              <w:spacing w:befor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Principal Consultant / Associate Director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7">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8">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9">
            <w:pPr>
              <w:keepNext w:val="1"/>
              <w:spacing w:befor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Senior Consultant / Engagement Manager / Project Lead</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A">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B">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C">
            <w:pPr>
              <w:keepNext w:val="1"/>
              <w:spacing w:befor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Consultant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D">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E">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F">
            <w:pPr>
              <w:keepNext w:val="1"/>
              <w:spacing w:befor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Analyst / Junior Consultant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0">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1">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bl>
    <w:p w:rsidR="00000000" w:rsidDel="00000000" w:rsidP="00000000" w:rsidRDefault="00000000" w:rsidRPr="00000000" w14:paraId="00000042">
      <w:pP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Lot 10</w:t>
      </w:r>
    </w:p>
    <w:sdt>
      <w:sdtPr>
        <w:lock w:val="contentLocked"/>
        <w:tag w:val="goog_rdk_0"/>
      </w:sdtPr>
      <w:sdtContent>
        <w:tbl>
          <w:tblPr>
            <w:tblStyle w:val="Table2"/>
            <w:tblW w:w="9140.511811023624"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994.7929288068854"/>
            <w:gridCol w:w="3072.8594411083686"/>
            <w:gridCol w:w="3072.8594411083686"/>
            <w:tblGridChange w:id="0">
              <w:tblGrid>
                <w:gridCol w:w="2994.7929288068854"/>
                <w:gridCol w:w="3072.8594411083686"/>
                <w:gridCol w:w="3072.8594411083686"/>
              </w:tblGrid>
            </w:tblGridChange>
          </w:tblGrid>
          <w:tr>
            <w:trPr>
              <w:cantSplit w:val="0"/>
              <w:tblHeader w:val="0"/>
            </w:trPr>
            <w:tc>
              <w:tcPr>
                <w:shd w:fill="548dd4" w:val="clear"/>
              </w:tcPr>
              <w:p w:rsidR="00000000" w:rsidDel="00000000" w:rsidP="00000000" w:rsidRDefault="00000000" w:rsidRPr="00000000" w14:paraId="00000043">
                <w:pPr>
                  <w:keepNext w:val="1"/>
                  <w:spacing w:after="120" w:befor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shd w:fill="548dd4" w:val="clear"/>
              </w:tcPr>
              <w:p w:rsidR="00000000" w:rsidDel="00000000" w:rsidP="00000000" w:rsidRDefault="00000000" w:rsidRPr="00000000" w14:paraId="00000044">
                <w:pPr>
                  <w:keepNext w:val="1"/>
                  <w:spacing w:after="120" w:befor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Complex Day Rate (£)</w:t>
                </w:r>
              </w:p>
            </w:tc>
            <w:tc>
              <w:tcPr>
                <w:shd w:fill="548dd4" w:val="clear"/>
              </w:tcPr>
              <w:p w:rsidR="00000000" w:rsidDel="00000000" w:rsidP="00000000" w:rsidRDefault="00000000" w:rsidRPr="00000000" w14:paraId="00000045">
                <w:pPr>
                  <w:keepNext w:val="1"/>
                  <w:spacing w:after="120" w:befor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Non Complex Day Rate (£)</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6">
                <w:pPr>
                  <w:keepNext w:val="1"/>
                  <w:spacing w:after="12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000000" w:space="0" w:sz="6" w:val="single"/>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7">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6" w:val="single"/>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8">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9">
                <w:pPr>
                  <w:keepNext w:val="1"/>
                  <w:spacing w:befor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Managing Consultant / Director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A">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B">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C">
                <w:pPr>
                  <w:keepNext w:val="1"/>
                  <w:spacing w:befor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Principal Consultant / Associate Director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D">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4E">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F">
                <w:pPr>
                  <w:keepNext w:val="1"/>
                  <w:spacing w:befor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Senior Consultant / Engagement Manager / Project Lead</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50">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51">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2">
                <w:pPr>
                  <w:keepNext w:val="1"/>
                  <w:spacing w:befor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Consultant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53">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54">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5">
                <w:pPr>
                  <w:keepNext w:val="1"/>
                  <w:spacing w:befor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Analyst / Junior Consultant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56">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57">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bl>
      </w:sdtContent>
    </w:sdt>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Alternative Pricing Mechanisms</w:t>
      </w:r>
    </w:p>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pricing mechanisms are also available for use by Buyers in Call-Off Contracts. </w:t>
      </w:r>
    </w:p>
    <w:p w:rsidR="00000000" w:rsidDel="00000000" w:rsidP="00000000" w:rsidRDefault="00000000" w:rsidRPr="00000000" w14:paraId="0000005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240" w:line="240" w:lineRule="auto"/>
        <w:ind w:left="720" w:right="0" w:hanging="36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Contingent price</w:t>
      </w:r>
    </w:p>
    <w:p w:rsidR="00000000" w:rsidDel="00000000" w:rsidP="00000000" w:rsidRDefault="00000000" w:rsidRPr="00000000" w14:paraId="0000005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Fixed price</w:t>
      </w:r>
    </w:p>
    <w:p w:rsidR="00000000" w:rsidDel="00000000" w:rsidP="00000000" w:rsidRDefault="00000000" w:rsidRPr="00000000" w14:paraId="0000005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Milestone prices</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Risk and Reward</w:t>
      </w:r>
    </w:p>
    <w:p w:rsidR="00000000" w:rsidDel="00000000" w:rsidP="00000000" w:rsidRDefault="00000000" w:rsidRPr="00000000" w14:paraId="0000005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Volume based pricing</w:t>
      </w:r>
    </w:p>
    <w:p w:rsidR="00000000" w:rsidDel="00000000" w:rsidP="00000000" w:rsidRDefault="00000000" w:rsidRPr="00000000" w14:paraId="0000006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beforeAutospacing="0" w:line="240" w:lineRule="auto"/>
        <w:ind w:left="720" w:right="0" w:hanging="36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Technology enabled services</w:t>
      </w:r>
      <w:r w:rsidDel="00000000" w:rsidR="00000000" w:rsidRPr="00000000">
        <w:rPr>
          <w:rtl w:val="0"/>
        </w:rPr>
      </w:r>
    </w:p>
    <w:p w:rsidR="00000000" w:rsidDel="00000000" w:rsidP="00000000" w:rsidRDefault="00000000" w:rsidRPr="00000000" w14:paraId="00000061">
      <w:pPr>
        <w:rPr>
          <w:rFonts w:ascii="Arial" w:cs="Arial" w:eastAsia="Arial" w:hAnsi="Arial"/>
          <w:sz w:val="24"/>
          <w:szCs w:val="24"/>
        </w:rPr>
      </w:pPr>
      <w:r w:rsidDel="00000000" w:rsidR="00000000" w:rsidRPr="00000000">
        <w:rPr>
          <w:rFonts w:ascii="Arial" w:cs="Arial" w:eastAsia="Arial" w:hAnsi="Arial"/>
          <w:sz w:val="24"/>
          <w:szCs w:val="24"/>
          <w:rtl w:val="0"/>
        </w:rPr>
        <w:t xml:space="preserve">The rates tendered under the above alternative pricing mechanisms are also subject to variation by way of indexation if allowed in the Order Form.</w:t>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8">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B">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360" w:hanging="360"/>
      </w:pPr>
      <w:rPr>
        <w:rFonts w:ascii="Arial" w:cs="Arial" w:eastAsia="Arial" w:hAnsi="Arial"/>
        <w:b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2a/AgpE8l2FGcIEJRn1nB58UOA==">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